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ACE" w:rsidRPr="000B1403" w:rsidP="00295AC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95ACE" w:rsidRPr="000B1403" w:rsidP="00295AC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5-1064-2102/2024</w:t>
      </w:r>
    </w:p>
    <w:p w:rsidR="00295ACE" w:rsidRPr="000B1403" w:rsidP="00295ACE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B1403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86MS0042-01-2024-005588-16</w:t>
      </w:r>
    </w:p>
    <w:p w:rsidR="00295ACE" w:rsidRPr="000B1403" w:rsidP="00295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295ACE" w:rsidRPr="000B1403" w:rsidP="00295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295ACE" w:rsidRPr="000B1403" w:rsidP="0029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Нижневартовск                                                                    21 августа  2024 года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             </w:t>
      </w:r>
    </w:p>
    <w:p w:rsidR="00295ACE" w:rsidRPr="000B1403" w:rsidP="0029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я Нижневартовска Ханты-Мансийского автономного округа – Югры Вдовина О.В., находящийся по адресу: ХМАО – Югра, г. Нижневартовск, ул. Нефтяников, 6, 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Паринова Юрия Александровича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316C4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года рождения, уроженца </w:t>
      </w:r>
      <w:r w:rsidR="00316C4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не работающего, зарегистрированного и проживающего по адресу: </w:t>
      </w:r>
      <w:r w:rsidR="00316C4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в/у </w:t>
      </w:r>
      <w:r w:rsidR="00316C4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</w:p>
    <w:p w:rsidR="00295ACE" w:rsidRPr="000B1403" w:rsidP="00295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Паринов Ю.А.,17.07.2024 года в 11:57 в районе д. 12Б по ул. Мира  г. Нижневартов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ска, управляя транспортным средством «Хендэ солярис», государственный регистрационный знак </w:t>
      </w:r>
      <w:r w:rsidR="00316C4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на перекрестке, образованном четырьмя пересечениями проезжих частей,  при выполнении маневра  разворота выехал на полосу, предназначенную для встречного д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вижения, в нарушение п. 8.6 Правил дорожного движения РФ.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На рассмотрение дела об административном правонарушении Паринов Ю.А. не явился, извещен надлежащим образом.</w:t>
      </w:r>
    </w:p>
    <w:p w:rsidR="00295ACE" w:rsidRPr="000B1403" w:rsidP="00295A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судья, исследовал письменные доказательства по делу:</w:t>
      </w:r>
    </w:p>
    <w:p w:rsidR="00295ACE" w:rsidRPr="000B1403" w:rsidP="00295A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протокол 86 ХМ 599291 об адми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нистративном правонарушении от 17.07.2024 года, с которым Паринов Ю.А. ознакомлен; последнему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ебя (ст. 51 Конституции РФ), о чем в протоколе имеется его подпись, замечаний и объяснений не указал;</w:t>
      </w:r>
    </w:p>
    <w:p w:rsidR="00295ACE" w:rsidRPr="000B1403" w:rsidP="00295A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рапорт инспектора ДПС ОГИБДД УМВД России по г. Нижневартовску от 17.07.2024, в котором указаны обстоятельства, изложенные в протоколе об административном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правонарушении;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видеофиксацию административного правонарушения, при просмотре которой видно, что водитель транспортного средства Хендэ солярис», государственный регистрационный знак </w:t>
      </w:r>
      <w:r w:rsidR="00316C4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осуществляет маневр разворота таким образом, что оказалось на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полосе встречного движения.</w:t>
      </w:r>
    </w:p>
    <w:p w:rsidR="00295ACE" w:rsidRPr="000B1403" w:rsidP="00295ACE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0B1403">
        <w:rPr>
          <w:color w:val="0D0D0D" w:themeColor="text1" w:themeTint="F2"/>
          <w:sz w:val="27"/>
          <w:szCs w:val="27"/>
        </w:rPr>
        <w:t>копию дислокации дорожных знаков, из которой усматривается наличие перекрестка образованного четырьмя пересечениями проезжих частей  в районе д.12Б  по ул. Мира г. Нижневартовска.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Из диспозиции ч. 4 ст.12.15 Кодекса РФ об админи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ть ч.3 ст.12.15 КоАП РФ.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вения транспортных средств, сопряженного с риском наступления тяжких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последствий, в связи с чем ответственности за него, по смыслу </w:t>
      </w:r>
      <w:hyperlink r:id="rId4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4 статьи 12.15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 во взаимосвязи с его </w:t>
      </w:r>
      <w:hyperlink r:id="rId5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статьями 2.1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 </w:t>
      </w:r>
      <w:hyperlink r:id="rId6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2.2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ределении размера административного наказания в соответствии с положениями </w:t>
      </w:r>
      <w:hyperlink r:id="rId7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2 статьи 4.1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силу п. 1.3 Правил дорожного движения РФ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ние установленными сигналами.</w:t>
      </w:r>
    </w:p>
    <w:p w:rsidR="00295ACE" w:rsidRPr="000B1403" w:rsidP="0029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Таким образом, виновность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Паринова Ю.А.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рапортом, дислокацией дорожных  знаков.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Су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95ACE" w:rsidRPr="000B1403" w:rsidP="00295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соответствии с частью 4 статьи 12.15 Кодекса РФ об административных правонарушениях выезд в наруше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ние </w:t>
      </w:r>
      <w:hyperlink r:id="rId8" w:anchor="/document/1305770/entry/1009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Правил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частью 3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95ACE" w:rsidRPr="000B1403" w:rsidP="00295A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Так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им образом, выезд Париновым Ю.А. в нарушение </w:t>
      </w:r>
      <w:hyperlink r:id="rId8" w:anchor="/document/1305770/entry/1009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Правил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 дорожного движения на полосу, предназначенную для встречного движения, подтверждается материалами дела об административном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соответствии со ст. ст. 4.2 и 4.3 КоАП РФ   обстоятельств, смягчающих </w:t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 отягчающих административную ответственность, мировой судья не усматривает. </w:t>
      </w:r>
    </w:p>
    <w:p w:rsidR="00295ACE" w:rsidRPr="000B1403" w:rsidP="0029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обстоятельств, смягчающих  и отягчающих ад</w:t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министративную ответственность, приходит к выводу, что наказание возможно назначить в </w:t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виде административного штрафа.</w:t>
      </w:r>
    </w:p>
    <w:p w:rsidR="00295ACE" w:rsidRPr="000B1403" w:rsidP="0029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95ACE" w:rsidRPr="000B1403" w:rsidP="0029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95ACE" w:rsidRPr="000B1403" w:rsidP="00295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ПОСТАНОВИЛ: </w:t>
      </w:r>
    </w:p>
    <w:p w:rsidR="00295ACE" w:rsidRPr="000B1403" w:rsidP="00295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95ACE" w:rsidRPr="000B1403" w:rsidP="0029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Паринова Юрия Александровича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 штрафа  в  размере  5 000 (пяти тысяч) рублей.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71875000, УИН 18810486240480017727. </w:t>
      </w:r>
    </w:p>
    <w:p w:rsidR="00295ACE" w:rsidRPr="000B1403" w:rsidP="0029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соотве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u w:val="single"/>
            <w:lang w:eastAsia="ru-RU"/>
          </w:rPr>
          <w:t>ст. 31.5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295ACE" w:rsidRPr="000B1403" w:rsidP="0029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соответствии с п. 1.3 ст. 32.2 Кодекса РФ об административных правонарушениях при упл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295ACE" w:rsidRPr="000B1403" w:rsidP="00295A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сл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Квитанцию об оплате штрафа необходим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127.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Неуплата административн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95ACE" w:rsidRPr="000B1403" w:rsidP="00295AC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 может быть обжаловано в Нижневартовский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№2.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…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 xml:space="preserve">       О.В.Вдовина</w:t>
      </w:r>
    </w:p>
    <w:p w:rsidR="00295ACE" w:rsidRPr="000B1403" w:rsidP="00295A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23DC" w:rsidRPr="000B1403" w:rsidP="00040B7D">
      <w:pPr>
        <w:spacing w:after="0" w:line="240" w:lineRule="auto"/>
        <w:ind w:firstLine="567"/>
        <w:jc w:val="both"/>
        <w:rPr>
          <w:color w:val="0D0D0D" w:themeColor="text1" w:themeTint="F2"/>
        </w:rPr>
      </w:pPr>
      <w:r w:rsidRPr="000B140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Подлинник постановления находится в материалах административного дела № 5-1064-2102/2024 мирового судьи судебного участка № 2 Нижневартовского судебного района города окружного значения Нижневартовска ХМАО – Югры</w:t>
      </w:r>
    </w:p>
    <w:sectPr w:rsidSect="00C81AAB">
      <w:headerReference w:type="even" r:id="rId10"/>
      <w:headerReference w:type="default" r:id="rId11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C4D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CE"/>
    <w:rsid w:val="00040B7D"/>
    <w:rsid w:val="000B1403"/>
    <w:rsid w:val="00295ACE"/>
    <w:rsid w:val="00316C4D"/>
    <w:rsid w:val="00510DC6"/>
    <w:rsid w:val="00806F71"/>
    <w:rsid w:val="009065FE"/>
    <w:rsid w:val="00E7684A"/>
    <w:rsid w:val="00EF2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CA76D3-35A7-4885-AE51-5CD616B6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9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95ACE"/>
  </w:style>
  <w:style w:type="character" w:styleId="PageNumber">
    <w:name w:val="page number"/>
    <w:basedOn w:val="DefaultParagraphFont"/>
    <w:rsid w:val="00295ACE"/>
  </w:style>
  <w:style w:type="paragraph" w:styleId="BodyTextIndent">
    <w:name w:val="Body Text Indent"/>
    <w:basedOn w:val="Normal"/>
    <w:link w:val="a0"/>
    <w:rsid w:val="00295A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95A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